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5FB" w:rsidRDefault="009375FB" w:rsidP="004A4E0F">
      <w:pPr>
        <w:jc w:val="both"/>
        <w:rPr>
          <w:rtl/>
        </w:rPr>
      </w:pPr>
    </w:p>
    <w:p w:rsidR="004A4E0F" w:rsidRDefault="004A4E0F" w:rsidP="004A4E0F">
      <w:pPr>
        <w:jc w:val="both"/>
        <w:rPr>
          <w:rtl/>
        </w:rPr>
      </w:pPr>
    </w:p>
    <w:p w:rsidR="004A4E0F" w:rsidRDefault="004A4E0F" w:rsidP="004A4E0F">
      <w:pPr>
        <w:jc w:val="both"/>
        <w:rPr>
          <w:rtl/>
        </w:rPr>
      </w:pPr>
    </w:p>
    <w:p w:rsidR="004A4E0F" w:rsidRPr="004A4E0F" w:rsidRDefault="004A4E0F" w:rsidP="004A4E0F">
      <w:pPr>
        <w:bidi w:val="0"/>
        <w:spacing w:after="0" w:line="240" w:lineRule="auto"/>
        <w:jc w:val="right"/>
        <w:outlineLvl w:val="0"/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</w:rPr>
      </w:pPr>
      <w:r w:rsidRPr="004A4E0F"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  <w:rtl/>
        </w:rPr>
        <w:t>هداف آزمایشگاه آزمایشات پیش از ازدواج</w:t>
      </w:r>
    </w:p>
    <w:p w:rsidR="004A4E0F" w:rsidRPr="004A4E0F" w:rsidRDefault="004A4E0F" w:rsidP="004A4E0F">
      <w:pPr>
        <w:bidi w:val="0"/>
        <w:spacing w:before="150" w:after="0" w:line="240" w:lineRule="auto"/>
        <w:jc w:val="right"/>
        <w:rPr>
          <w:rFonts w:ascii="vazir" w:eastAsia="Times New Roman" w:hAnsi="vazir" w:cs="Times New Roman"/>
          <w:color w:val="333333"/>
          <w:sz w:val="18"/>
          <w:szCs w:val="18"/>
        </w:rPr>
      </w:pPr>
      <w:r w:rsidRPr="004A4E0F">
        <w:rPr>
          <w:rFonts w:ascii="vazir" w:eastAsia="Times New Roman" w:hAnsi="vazir" w:cs="Times New Roman"/>
          <w:color w:val="333333"/>
          <w:sz w:val="18"/>
          <w:szCs w:val="18"/>
        </w:rPr>
        <w:t> </w:t>
      </w:r>
    </w:p>
    <w:p w:rsidR="004A4E0F" w:rsidRPr="004A4E0F" w:rsidRDefault="004A4E0F" w:rsidP="004A4E0F">
      <w:pPr>
        <w:bidi w:val="0"/>
        <w:spacing w:after="0" w:line="240" w:lineRule="auto"/>
        <w:jc w:val="right"/>
        <w:rPr>
          <w:rFonts w:ascii="vazir" w:eastAsia="Times New Roman" w:hAnsi="vazir" w:cs="Times New Roman"/>
          <w:color w:val="333333"/>
          <w:sz w:val="18"/>
          <w:szCs w:val="18"/>
        </w:rPr>
      </w:pPr>
      <w:r w:rsidRPr="004A4E0F">
        <w:rPr>
          <w:rFonts w:ascii="vazir" w:eastAsia="Times New Roman" w:hAnsi="vazir" w:cs="Times New Roman"/>
          <w:color w:val="333333"/>
          <w:sz w:val="18"/>
          <w:szCs w:val="18"/>
        </w:rPr>
        <w:t> </w:t>
      </w:r>
    </w:p>
    <w:p w:rsidR="004A4E0F" w:rsidRPr="004A4E0F" w:rsidRDefault="004A4E0F" w:rsidP="004A4E0F">
      <w:pPr>
        <w:bidi w:val="0"/>
        <w:spacing w:after="0" w:line="240" w:lineRule="auto"/>
        <w:jc w:val="right"/>
        <w:rPr>
          <w:rFonts w:ascii="vazir" w:eastAsia="Times New Roman" w:hAnsi="vazir" w:cs="Times New Roman"/>
          <w:color w:val="333333"/>
          <w:sz w:val="18"/>
          <w:szCs w:val="18"/>
        </w:rPr>
      </w:pPr>
      <w:r w:rsidRPr="004A4E0F">
        <w:rPr>
          <w:rFonts w:ascii="vazir" w:eastAsia="Times New Roman" w:hAnsi="vazir" w:cs="Times New Roman"/>
          <w:color w:val="333333"/>
          <w:sz w:val="18"/>
          <w:szCs w:val="18"/>
        </w:rPr>
        <w:t> </w:t>
      </w:r>
    </w:p>
    <w:p w:rsidR="004A4E0F" w:rsidRPr="004A4E0F" w:rsidRDefault="004A4E0F" w:rsidP="004A4E0F">
      <w:pPr>
        <w:spacing w:after="0" w:line="240" w:lineRule="auto"/>
        <w:rPr>
          <w:rFonts w:ascii="vazir" w:eastAsia="Times New Roman" w:hAnsi="vazir" w:cs="Times New Roman"/>
          <w:color w:val="333333"/>
          <w:sz w:val="18"/>
          <w:szCs w:val="18"/>
        </w:rPr>
      </w:pPr>
      <w:r w:rsidRPr="004A4E0F">
        <w:rPr>
          <w:rFonts w:ascii="vazir" w:eastAsia="Times New Roman" w:hAnsi="vazir" w:cs="Times New Roman"/>
          <w:b/>
          <w:bCs/>
          <w:color w:val="333333"/>
          <w:sz w:val="18"/>
          <w:szCs w:val="18"/>
          <w:rtl/>
        </w:rPr>
        <w:t>هدف كلي:</w:t>
      </w:r>
    </w:p>
    <w:p w:rsidR="004A4E0F" w:rsidRPr="004A4E0F" w:rsidRDefault="004A4E0F" w:rsidP="004A4E0F">
      <w:pPr>
        <w:spacing w:after="0" w:line="240" w:lineRule="auto"/>
        <w:rPr>
          <w:rFonts w:ascii="vazir" w:eastAsia="Times New Roman" w:hAnsi="vazir" w:cs="Times New Roman"/>
          <w:color w:val="333333"/>
          <w:sz w:val="18"/>
          <w:szCs w:val="18"/>
          <w:rtl/>
        </w:rPr>
      </w:pPr>
      <w:r w:rsidRPr="004A4E0F">
        <w:rPr>
          <w:rFonts w:ascii="vazir" w:eastAsia="Times New Roman" w:hAnsi="vazir" w:cs="Times New Roman"/>
          <w:color w:val="333333"/>
          <w:sz w:val="18"/>
          <w:szCs w:val="18"/>
          <w:rtl/>
        </w:rPr>
        <w:t> </w:t>
      </w:r>
    </w:p>
    <w:p w:rsidR="004A4E0F" w:rsidRPr="004A4E0F" w:rsidRDefault="004A4E0F" w:rsidP="004A4E0F">
      <w:pPr>
        <w:spacing w:after="0" w:line="240" w:lineRule="auto"/>
        <w:rPr>
          <w:rFonts w:ascii="vazir" w:eastAsia="Times New Roman" w:hAnsi="vazir" w:cs="Times New Roman"/>
          <w:color w:val="333333"/>
          <w:sz w:val="18"/>
          <w:szCs w:val="18"/>
          <w:rtl/>
        </w:rPr>
      </w:pPr>
      <w:r w:rsidRPr="004A4E0F">
        <w:rPr>
          <w:rFonts w:ascii="vazir" w:eastAsia="Times New Roman" w:hAnsi="vazir" w:cs="Times New Roman"/>
          <w:color w:val="333333"/>
          <w:sz w:val="18"/>
          <w:szCs w:val="18"/>
          <w:rtl/>
        </w:rPr>
        <w:t>پيشگيري از بروز بتا تالاسمي ماژور</w:t>
      </w:r>
    </w:p>
    <w:p w:rsidR="004A4E0F" w:rsidRPr="004A4E0F" w:rsidRDefault="004A4E0F" w:rsidP="004A4E0F">
      <w:pPr>
        <w:spacing w:after="0" w:line="240" w:lineRule="auto"/>
        <w:rPr>
          <w:rFonts w:ascii="vazir" w:eastAsia="Times New Roman" w:hAnsi="vazir" w:cs="Times New Roman"/>
          <w:color w:val="333333"/>
          <w:sz w:val="18"/>
          <w:szCs w:val="18"/>
          <w:rtl/>
        </w:rPr>
      </w:pPr>
      <w:r w:rsidRPr="004A4E0F">
        <w:rPr>
          <w:rFonts w:ascii="vazir" w:eastAsia="Times New Roman" w:hAnsi="vazir" w:cs="Times New Roman"/>
          <w:color w:val="333333"/>
          <w:sz w:val="18"/>
          <w:szCs w:val="18"/>
          <w:rtl/>
        </w:rPr>
        <w:t> </w:t>
      </w:r>
    </w:p>
    <w:p w:rsidR="004A4E0F" w:rsidRPr="004A4E0F" w:rsidRDefault="004A4E0F" w:rsidP="004A4E0F">
      <w:pPr>
        <w:spacing w:after="0" w:line="240" w:lineRule="auto"/>
        <w:rPr>
          <w:rFonts w:ascii="vazir" w:eastAsia="Times New Roman" w:hAnsi="vazir" w:cs="Times New Roman"/>
          <w:color w:val="333333"/>
          <w:sz w:val="18"/>
          <w:szCs w:val="18"/>
          <w:rtl/>
        </w:rPr>
      </w:pPr>
      <w:r w:rsidRPr="004A4E0F">
        <w:rPr>
          <w:rFonts w:ascii="vazir" w:eastAsia="Times New Roman" w:hAnsi="vazir" w:cs="Times New Roman"/>
          <w:b/>
          <w:bCs/>
          <w:color w:val="333333"/>
          <w:sz w:val="18"/>
          <w:szCs w:val="18"/>
          <w:rtl/>
        </w:rPr>
        <w:t>اهداف اختصاصي:</w:t>
      </w:r>
    </w:p>
    <w:p w:rsidR="004A4E0F" w:rsidRPr="004A4E0F" w:rsidRDefault="004A4E0F" w:rsidP="004A4E0F">
      <w:pPr>
        <w:spacing w:after="0" w:line="240" w:lineRule="auto"/>
        <w:rPr>
          <w:rFonts w:ascii="vazir" w:eastAsia="Times New Roman" w:hAnsi="vazir" w:cs="Times New Roman"/>
          <w:color w:val="333333"/>
          <w:sz w:val="18"/>
          <w:szCs w:val="18"/>
          <w:rtl/>
        </w:rPr>
      </w:pPr>
      <w:r w:rsidRPr="004A4E0F">
        <w:rPr>
          <w:rFonts w:ascii="vazir" w:eastAsia="Times New Roman" w:hAnsi="vazir" w:cs="Times New Roman"/>
          <w:color w:val="333333"/>
          <w:sz w:val="18"/>
          <w:szCs w:val="18"/>
          <w:rtl/>
        </w:rPr>
        <w:t> </w:t>
      </w:r>
    </w:p>
    <w:p w:rsidR="004A4E0F" w:rsidRPr="004A4E0F" w:rsidRDefault="004A4E0F" w:rsidP="004A4E0F">
      <w:pPr>
        <w:spacing w:after="0" w:line="240" w:lineRule="auto"/>
        <w:ind w:left="4"/>
        <w:rPr>
          <w:rFonts w:ascii="vazir" w:eastAsia="Times New Roman" w:hAnsi="vazir" w:cs="Times New Roman"/>
          <w:color w:val="333333"/>
          <w:sz w:val="18"/>
          <w:szCs w:val="18"/>
          <w:rtl/>
        </w:rPr>
      </w:pPr>
      <w:r w:rsidRPr="004A4E0F">
        <w:rPr>
          <w:rFonts w:ascii="vazir" w:eastAsia="Times New Roman" w:hAnsi="vazir" w:cs="Times New Roman"/>
          <w:color w:val="333333"/>
          <w:sz w:val="18"/>
          <w:szCs w:val="18"/>
          <w:rtl/>
        </w:rPr>
        <w:t>-  شناسايي زوج هاي ناقل تالاسمي در سراسر كشور به ميزان ۱۰۰%</w:t>
      </w:r>
    </w:p>
    <w:p w:rsidR="004A4E0F" w:rsidRPr="004A4E0F" w:rsidRDefault="004A4E0F" w:rsidP="004A4E0F">
      <w:pPr>
        <w:spacing w:after="0" w:line="240" w:lineRule="auto"/>
        <w:ind w:left="4"/>
        <w:rPr>
          <w:rFonts w:ascii="vazir" w:eastAsia="Times New Roman" w:hAnsi="vazir" w:cs="Times New Roman"/>
          <w:color w:val="333333"/>
          <w:sz w:val="18"/>
          <w:szCs w:val="18"/>
          <w:rtl/>
        </w:rPr>
      </w:pPr>
      <w:r w:rsidRPr="004A4E0F">
        <w:rPr>
          <w:rFonts w:ascii="vazir" w:eastAsia="Times New Roman" w:hAnsi="vazir" w:cs="Times New Roman"/>
          <w:color w:val="333333"/>
          <w:sz w:val="18"/>
          <w:szCs w:val="18"/>
          <w:rtl/>
        </w:rPr>
        <w:t>-  مراقبت ويژه زوج هاي ناقل تالاسمي شناسايي شده واجد شرايط مراقبت، در سراسر كشور به ميزان ۱۰۰%</w:t>
      </w:r>
    </w:p>
    <w:p w:rsidR="004A4E0F" w:rsidRPr="004A4E0F" w:rsidRDefault="004A4E0F" w:rsidP="004A4E0F">
      <w:pPr>
        <w:spacing w:after="75" w:line="240" w:lineRule="auto"/>
        <w:ind w:left="4"/>
        <w:rPr>
          <w:rFonts w:ascii="vazir" w:eastAsia="Times New Roman" w:hAnsi="vazir" w:cs="Times New Roman"/>
          <w:color w:val="333333"/>
          <w:sz w:val="18"/>
          <w:szCs w:val="18"/>
          <w:rtl/>
        </w:rPr>
      </w:pPr>
      <w:r w:rsidRPr="004A4E0F">
        <w:rPr>
          <w:rFonts w:ascii="vazir" w:eastAsia="Times New Roman" w:hAnsi="vazir" w:cs="Times New Roman"/>
          <w:color w:val="333333"/>
          <w:sz w:val="18"/>
          <w:szCs w:val="18"/>
          <w:rtl/>
        </w:rPr>
        <w:t>-  ارتقا كيفيت خدمات تشخيص آزمايشگاهي براساس بسته خدمتي تدوين شده از سوي وزارت متبوع</w:t>
      </w:r>
    </w:p>
    <w:p w:rsidR="004A4E0F" w:rsidRDefault="004A4E0F" w:rsidP="004A4E0F">
      <w:pPr>
        <w:jc w:val="both"/>
        <w:rPr>
          <w:rFonts w:hint="cs"/>
        </w:rPr>
      </w:pPr>
      <w:bookmarkStart w:id="0" w:name="_GoBack"/>
      <w:bookmarkEnd w:id="0"/>
    </w:p>
    <w:sectPr w:rsidR="004A4E0F" w:rsidSect="005819D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0F"/>
    <w:rsid w:val="004A4E0F"/>
    <w:rsid w:val="005819D3"/>
    <w:rsid w:val="0093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7AA7B0"/>
  <w15:chartTrackingRefBased/>
  <w15:docId w15:val="{ED03A4E8-CA71-4AF8-B508-4822E399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3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Fatahi</dc:creator>
  <cp:keywords/>
  <dc:description/>
  <cp:lastModifiedBy>Fatahi</cp:lastModifiedBy>
  <cp:revision>1</cp:revision>
  <dcterms:created xsi:type="dcterms:W3CDTF">2020-12-12T08:09:00Z</dcterms:created>
  <dcterms:modified xsi:type="dcterms:W3CDTF">2020-12-12T08:09:00Z</dcterms:modified>
</cp:coreProperties>
</file>