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54" w:rsidRDefault="00E91254" w:rsidP="00E91254">
      <w:pPr>
        <w:tabs>
          <w:tab w:val="left" w:pos="-330"/>
        </w:tabs>
        <w:ind w:left="-188" w:right="-142"/>
        <w:jc w:val="center"/>
        <w:rPr>
          <w:rFonts w:cs="B Nazanin" w:hint="cs"/>
          <w:b/>
          <w:bCs/>
          <w:color w:val="C00000"/>
          <w:sz w:val="32"/>
          <w:szCs w:val="32"/>
          <w:rtl/>
        </w:rPr>
      </w:pPr>
    </w:p>
    <w:p w:rsidR="00E91254" w:rsidRDefault="00E91254" w:rsidP="00E91254">
      <w:pPr>
        <w:tabs>
          <w:tab w:val="left" w:pos="-330"/>
        </w:tabs>
        <w:ind w:left="-188" w:right="-142"/>
        <w:jc w:val="center"/>
        <w:rPr>
          <w:rFonts w:cs="B Nazanin"/>
          <w:b/>
          <w:bCs/>
          <w:color w:val="C00000"/>
          <w:sz w:val="32"/>
          <w:szCs w:val="32"/>
          <w:rtl/>
        </w:rPr>
      </w:pPr>
    </w:p>
    <w:p w:rsidR="00E91254" w:rsidRPr="00E91254" w:rsidRDefault="00E91254" w:rsidP="00E91254">
      <w:pPr>
        <w:tabs>
          <w:tab w:val="left" w:pos="-330"/>
        </w:tabs>
        <w:ind w:left="-188" w:right="-142"/>
        <w:jc w:val="center"/>
        <w:rPr>
          <w:rFonts w:cs="B Nazanin"/>
          <w:b/>
          <w:bCs/>
          <w:color w:val="C00000"/>
          <w:sz w:val="32"/>
          <w:szCs w:val="32"/>
          <w:rtl/>
        </w:rPr>
      </w:pPr>
      <w:r w:rsidRPr="00E91254">
        <w:rPr>
          <w:rFonts w:cs="B Nazanin" w:hint="cs"/>
          <w:b/>
          <w:bCs/>
          <w:color w:val="C00000"/>
          <w:sz w:val="32"/>
          <w:szCs w:val="32"/>
          <w:rtl/>
        </w:rPr>
        <w:t>آنچه باید برای پیشگیری از مواجهه</w:t>
      </w:r>
    </w:p>
    <w:p w:rsidR="00E91254" w:rsidRPr="00E91254" w:rsidRDefault="00E91254" w:rsidP="00E91254">
      <w:pPr>
        <w:tabs>
          <w:tab w:val="left" w:pos="-330"/>
        </w:tabs>
        <w:spacing w:after="0" w:line="240" w:lineRule="auto"/>
        <w:ind w:left="-188" w:right="-142"/>
        <w:jc w:val="center"/>
        <w:rPr>
          <w:rFonts w:cs="B Titr"/>
          <w:b/>
          <w:bCs/>
          <w:color w:val="C00000"/>
          <w:sz w:val="72"/>
          <w:szCs w:val="72"/>
          <w:rtl/>
        </w:rPr>
      </w:pPr>
      <w:r w:rsidRPr="00E91254">
        <w:rPr>
          <w:rFonts w:cs="B Titr" w:hint="cs"/>
          <w:b/>
          <w:bCs/>
          <w:color w:val="C00000"/>
          <w:sz w:val="72"/>
          <w:szCs w:val="72"/>
          <w:rtl/>
        </w:rPr>
        <w:t>با دود دست دوم سیگار و قلیان</w:t>
      </w:r>
    </w:p>
    <w:p w:rsidR="00E91254" w:rsidRPr="00E91254" w:rsidRDefault="00E91254" w:rsidP="00E91254">
      <w:pPr>
        <w:tabs>
          <w:tab w:val="left" w:pos="-330"/>
        </w:tabs>
        <w:spacing w:after="0" w:line="240" w:lineRule="auto"/>
        <w:ind w:left="-188" w:right="-142"/>
        <w:jc w:val="center"/>
        <w:rPr>
          <w:rFonts w:cs="B Titr"/>
          <w:b/>
          <w:bCs/>
          <w:color w:val="C00000"/>
          <w:sz w:val="72"/>
          <w:szCs w:val="72"/>
          <w:rtl/>
        </w:rPr>
      </w:pPr>
    </w:p>
    <w:p w:rsidR="00E91254" w:rsidRPr="00E91254" w:rsidRDefault="00E91254" w:rsidP="00E91254">
      <w:pPr>
        <w:tabs>
          <w:tab w:val="left" w:pos="-330"/>
        </w:tabs>
        <w:spacing w:after="0"/>
        <w:ind w:left="-188" w:right="-142"/>
        <w:jc w:val="center"/>
        <w:rPr>
          <w:rFonts w:cs="B Titr"/>
          <w:b/>
          <w:bCs/>
          <w:color w:val="C00000"/>
          <w:sz w:val="40"/>
          <w:szCs w:val="40"/>
          <w:rtl/>
        </w:rPr>
      </w:pPr>
      <w:r w:rsidRPr="00E91254">
        <w:rPr>
          <w:rFonts w:cs="B Titr" w:hint="cs"/>
          <w:b/>
          <w:bCs/>
          <w:color w:val="C00000"/>
          <w:sz w:val="40"/>
          <w:szCs w:val="40"/>
          <w:rtl/>
        </w:rPr>
        <w:t>در محل کاررعایت شود!!!</w:t>
      </w:r>
    </w:p>
    <w:p w:rsidR="00E91254" w:rsidRPr="00E91254" w:rsidRDefault="00E91254" w:rsidP="00E91254">
      <w:pPr>
        <w:tabs>
          <w:tab w:val="left" w:pos="-330"/>
        </w:tabs>
        <w:ind w:left="-188" w:right="-142"/>
        <w:jc w:val="center"/>
        <w:rPr>
          <w:rFonts w:cs="B Nazanin"/>
          <w:b/>
          <w:bCs/>
          <w:color w:val="C00000"/>
          <w:sz w:val="32"/>
          <w:szCs w:val="32"/>
          <w:rtl/>
        </w:rPr>
      </w:pPr>
    </w:p>
    <w:p w:rsidR="00E91254" w:rsidRPr="00E91254" w:rsidRDefault="00E91254" w:rsidP="00E91254">
      <w:pPr>
        <w:tabs>
          <w:tab w:val="left" w:pos="-330"/>
        </w:tabs>
        <w:ind w:left="-188" w:right="-142"/>
        <w:jc w:val="center"/>
        <w:rPr>
          <w:rFonts w:cs="B Nazanin"/>
          <w:b/>
          <w:bCs/>
          <w:color w:val="C00000"/>
          <w:sz w:val="36"/>
          <w:szCs w:val="36"/>
          <w:rtl/>
        </w:rPr>
      </w:pPr>
      <w:r w:rsidRPr="00E91254">
        <w:rPr>
          <w:rFonts w:cs="B Nazanin" w:hint="cs"/>
          <w:b/>
          <w:bCs/>
          <w:color w:val="C00000"/>
          <w:sz w:val="36"/>
          <w:szCs w:val="36"/>
          <w:rtl/>
        </w:rPr>
        <w:t>پيشگيري از مصرف دخانيات در محل كار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E91254" w:rsidRDefault="00E91254" w:rsidP="00E91254">
      <w:pPr>
        <w:tabs>
          <w:tab w:val="left" w:pos="-330"/>
        </w:tabs>
        <w:spacing w:after="0"/>
        <w:ind w:left="-188" w:right="-142"/>
        <w:jc w:val="both"/>
        <w:rPr>
          <w:rFonts w:cs="B Titr"/>
          <w:color w:val="C00000"/>
          <w:sz w:val="28"/>
          <w:szCs w:val="28"/>
          <w:rtl/>
        </w:rPr>
      </w:pPr>
      <w:r w:rsidRPr="00E91254">
        <w:rPr>
          <w:rFonts w:cs="B Titr" w:hint="cs"/>
          <w:color w:val="C00000"/>
          <w:sz w:val="28"/>
          <w:szCs w:val="28"/>
          <w:rtl/>
        </w:rPr>
        <w:lastRenderedPageBreak/>
        <w:t>آيين نامه اجرايي اصلاح ماده 13 قانون مواد خوردني،آشاميدني،آرايشي و بهداشتي</w:t>
      </w:r>
    </w:p>
    <w:p w:rsidR="00E91254" w:rsidRDefault="00E91254" w:rsidP="00E91254">
      <w:pPr>
        <w:tabs>
          <w:tab w:val="left" w:pos="-330"/>
        </w:tabs>
        <w:spacing w:after="0"/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 w:hint="cs"/>
          <w:color w:val="000000" w:themeColor="text1"/>
          <w:sz w:val="28"/>
          <w:szCs w:val="28"/>
          <w:rtl/>
        </w:rPr>
        <w:t xml:space="preserve">ماده 13 </w:t>
      </w:r>
      <w:r w:rsidRPr="0060600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استعمال دخانيات توسط متصديان و كارگران مشمول اين آيين نامه و در حين كار ممنوع است.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br/>
      </w:r>
      <w:r w:rsidRPr="0060600B">
        <w:rPr>
          <w:rFonts w:cs="B Nazanin" w:hint="cs"/>
          <w:color w:val="000000" w:themeColor="text1"/>
          <w:sz w:val="28"/>
          <w:szCs w:val="28"/>
          <w:rtl/>
        </w:rPr>
        <w:br/>
        <w:t xml:space="preserve">  ماده 14 </w:t>
      </w:r>
      <w:r w:rsidRPr="0060600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 xml:space="preserve">فروش و عرضه سيگار در كارگاهها و كارخانجات و اماكن و مراكز و محلهاي موضوع اين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آيين نامه ممنوع است.        </w:t>
      </w:r>
    </w:p>
    <w:p w:rsidR="00E91254" w:rsidRDefault="00E91254" w:rsidP="00E91254">
      <w:pPr>
        <w:tabs>
          <w:tab w:val="left" w:pos="-330"/>
        </w:tabs>
        <w:spacing w:after="0"/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 w:hint="cs"/>
          <w:color w:val="000000" w:themeColor="text1"/>
          <w:sz w:val="28"/>
          <w:szCs w:val="28"/>
          <w:rtl/>
        </w:rPr>
        <w:br/>
        <w:t xml:space="preserve"> ماده 15 </w:t>
      </w:r>
      <w:r>
        <w:rPr>
          <w:rFonts w:cs="B Nazanin" w:hint="cs"/>
          <w:color w:val="000000" w:themeColor="text1"/>
          <w:sz w:val="28"/>
          <w:szCs w:val="28"/>
          <w:rtl/>
        </w:rPr>
        <w:t>-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 xml:space="preserve"> مصرف</w:t>
      </w:r>
      <w:r w:rsidRPr="0060600B">
        <w:rPr>
          <w:rFonts w:cs="B Nazanin"/>
          <w:color w:val="000000" w:themeColor="text1"/>
          <w:sz w:val="28"/>
          <w:szCs w:val="28"/>
          <w:rtl/>
        </w:rPr>
        <w:t xml:space="preserve"> هرگونه محصولات دخاني در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 xml:space="preserve">محوطه هاي عمومي كارگاهها،كارخانجات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و اماكن و مراكز،      محله های موضوع این ایین نامه ممنوع است. </w:t>
      </w:r>
    </w:p>
    <w:p w:rsidR="00E91254" w:rsidRDefault="00E91254" w:rsidP="00E91254">
      <w:pPr>
        <w:tabs>
          <w:tab w:val="left" w:pos="-330"/>
        </w:tabs>
        <w:spacing w:after="0"/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 w:hint="cs"/>
          <w:color w:val="000000" w:themeColor="text1"/>
          <w:sz w:val="28"/>
          <w:szCs w:val="28"/>
          <w:rtl/>
        </w:rPr>
        <w:br/>
        <w:t xml:space="preserve"> تبصره1 </w:t>
      </w:r>
      <w:r w:rsidRPr="0060600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متصديان،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 xml:space="preserve">مسئولين و يا كارفرمايان محلهاي موضوع اين آيين نامه مسئول اجراي مفاد ماده15 بوده و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br/>
        <w:t xml:space="preserve">            موظف اند ضمن نصب تابلوهاي هشدار دهنده در نقاط مناسب و در معرض ديد از مصرف دخانيات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br/>
        <w:t xml:space="preserve">            جلوگيري كنند</w:t>
      </w:r>
      <w:r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E91254" w:rsidRPr="0060600B" w:rsidRDefault="00E91254" w:rsidP="00E91254">
      <w:pPr>
        <w:tabs>
          <w:tab w:val="left" w:pos="-330"/>
        </w:tabs>
        <w:spacing w:after="0"/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E91254" w:rsidRDefault="00E91254" w:rsidP="00E91254">
      <w:pPr>
        <w:tabs>
          <w:tab w:val="left" w:pos="-330"/>
        </w:tabs>
        <w:ind w:left="-188" w:right="-142"/>
        <w:jc w:val="both"/>
        <w:rPr>
          <w:rFonts w:cs="B Titr"/>
          <w:color w:val="C00000"/>
          <w:sz w:val="28"/>
          <w:szCs w:val="28"/>
          <w:rtl/>
        </w:rPr>
      </w:pPr>
      <w:r w:rsidRPr="00E91254">
        <w:rPr>
          <w:rFonts w:cs="B Titr" w:hint="cs"/>
          <w:color w:val="C00000"/>
          <w:sz w:val="28"/>
          <w:szCs w:val="28"/>
          <w:rtl/>
        </w:rPr>
        <w:t>پيشگيري از مصرف دخانيات در محل كار</w:t>
      </w:r>
      <w:r>
        <w:rPr>
          <w:rFonts w:cs="B Titr" w:hint="cs"/>
          <w:color w:val="C00000"/>
          <w:sz w:val="28"/>
          <w:szCs w:val="28"/>
          <w:rtl/>
        </w:rPr>
        <w:t>: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</w:rPr>
      </w:pPr>
      <w:r w:rsidRPr="0060600B">
        <w:rPr>
          <w:rFonts w:cs="B Nazanin" w:hint="cs"/>
          <w:color w:val="000000" w:themeColor="text1"/>
          <w:sz w:val="28"/>
          <w:szCs w:val="28"/>
          <w:rtl/>
        </w:rPr>
        <w:t>كار در هواي سالم يكي از حقوق اوليه كارگران و كارمندان و از وظايف اصلي و قانوني كارفرمايان است. با اين كار مي توان از بروز يا تشديد بسياري از بيماري هاي شغلي مانند سرطان ها و بيماري هاي ريوي مرتبط با شغل پيشگيري نمود.</w:t>
      </w:r>
    </w:p>
    <w:p w:rsidR="00E91254" w:rsidRPr="00E91254" w:rsidRDefault="00E91254" w:rsidP="00E91254">
      <w:pPr>
        <w:pStyle w:val="ListParagraph"/>
        <w:numPr>
          <w:ilvl w:val="0"/>
          <w:numId w:val="1"/>
        </w:numPr>
        <w:tabs>
          <w:tab w:val="clear" w:pos="720"/>
          <w:tab w:val="left" w:pos="-330"/>
          <w:tab w:val="num" w:pos="-188"/>
        </w:tabs>
        <w:ind w:left="-188" w:right="-142" w:hanging="284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 w:hint="cs"/>
          <w:color w:val="000000" w:themeColor="text1"/>
          <w:sz w:val="28"/>
          <w:szCs w:val="28"/>
          <w:rtl/>
        </w:rPr>
        <w:t>-اختلاط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>دود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دخانيات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>و ساير عوامل بالقوه خطر در محيط كار مانند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>آزبست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 مي تواند باعث تشديد عوارض آن شود. از طرف ديگر، سيگار ابتلاي كارگران به بيماري هاي مزمن شغلي مانند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>برونشيت، پنوموكونيوز، بيماري هاي از بين برنده بافت ريه و آسم شغلي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ر ا تقويت كرده و پيشرفت اين بيماري ها را تسريع مي كند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Pr="00E91254">
        <w:rPr>
          <w:rFonts w:cs="B Nazanin"/>
          <w:color w:val="000000" w:themeColor="text1"/>
          <w:sz w:val="28"/>
          <w:szCs w:val="28"/>
          <w:rtl/>
        </w:rPr>
        <w:t>تماس دست آلوده به مواد با دهان، در سيگار ي ها بيشتر است</w:t>
      </w:r>
      <w:r w:rsidR="00186D75">
        <w:rPr>
          <w:rFonts w:cs="B Nazanin"/>
          <w:color w:val="000000" w:themeColor="text1"/>
          <w:sz w:val="28"/>
          <w:szCs w:val="28"/>
          <w:rtl/>
        </w:rPr>
        <w:t xml:space="preserve"> كه موجب انتقال بسياري از بيمار</w:t>
      </w:r>
      <w:r w:rsidRPr="00E91254">
        <w:rPr>
          <w:rFonts w:cs="B Nazanin"/>
          <w:color w:val="000000" w:themeColor="text1"/>
          <w:sz w:val="28"/>
          <w:szCs w:val="28"/>
          <w:rtl/>
        </w:rPr>
        <w:t xml:space="preserve">يهاي واگير (مثل </w:t>
      </w:r>
      <w:r w:rsidRPr="00E91254">
        <w:rPr>
          <w:rFonts w:cs="B Nazanin" w:hint="cs"/>
          <w:color w:val="000000" w:themeColor="text1"/>
          <w:sz w:val="28"/>
          <w:szCs w:val="28"/>
          <w:rtl/>
        </w:rPr>
        <w:t xml:space="preserve">             </w:t>
      </w:r>
      <w:r w:rsidRPr="00E91254">
        <w:rPr>
          <w:rFonts w:cs="B Nazanin"/>
          <w:color w:val="000000" w:themeColor="text1"/>
          <w:sz w:val="28"/>
          <w:szCs w:val="28"/>
          <w:rtl/>
        </w:rPr>
        <w:t>بيماري هاي روده اي و آنفلوآنزا) مي شود.</w:t>
      </w:r>
    </w:p>
    <w:p w:rsidR="00E91254" w:rsidRPr="0060600B" w:rsidRDefault="00E91254" w:rsidP="00E91254">
      <w:pPr>
        <w:numPr>
          <w:ilvl w:val="0"/>
          <w:numId w:val="1"/>
        </w:num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-افراد سيگاري به دليل ضعف سيستم ايمني و عدم توانايي سيستم تنفسي و عدم رعايت بهداشت فردي، بيشتر در معرض بيماري ها و در نتيجه غيبت از محل كار هستند .</w:t>
      </w:r>
    </w:p>
    <w:p w:rsidR="00E91254" w:rsidRPr="0060600B" w:rsidRDefault="00E91254" w:rsidP="00E91254">
      <w:pPr>
        <w:numPr>
          <w:ilvl w:val="0"/>
          <w:numId w:val="1"/>
        </w:num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-سيگاري ها با انتقال بيماري هاي تنفسي و نيز ايجاد آلودگي در محيط كار، باعث بيمار شدن همكاران و نيز كاهش عملكرد فرد در محيط كار مي شوند.</w:t>
      </w:r>
    </w:p>
    <w:p w:rsidR="00E91254" w:rsidRPr="0060600B" w:rsidRDefault="00E91254" w:rsidP="00E91254">
      <w:pPr>
        <w:numPr>
          <w:ilvl w:val="0"/>
          <w:numId w:val="1"/>
        </w:num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lastRenderedPageBreak/>
        <w:t>- با توجه به اينكه دود سيگار در محيط، باعث كاهش تمركز و دقت افراد مي شود، وجود فرد سيگاري باعث اختلال در عملكرد تمامي كارمندان و كارگران شده و كميت و كيفيت كار و ايمني كار را زير سوال مي برد . به اين ترتيب، ممنوعيت مصرف دخانيات در محيط كار توسط كارفرما را مي توان نشانه اهتمام او به سلامت افراد و احترام به حقوق ساير كاركنان دانست.</w:t>
      </w:r>
    </w:p>
    <w:p w:rsidR="00E91254" w:rsidRP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C00000"/>
          <w:sz w:val="28"/>
          <w:szCs w:val="28"/>
          <w:rtl/>
        </w:rPr>
      </w:pPr>
      <w:r w:rsidRPr="00E91254">
        <w:rPr>
          <w:rFonts w:cs="B Nazanin" w:hint="cs"/>
          <w:b/>
          <w:bCs/>
          <w:color w:val="C00000"/>
          <w:sz w:val="28"/>
          <w:szCs w:val="28"/>
          <w:rtl/>
        </w:rPr>
        <w:t>از ميان راه حل هاي پيشنهادي براي مقابله</w:t>
      </w:r>
      <w:r w:rsidRPr="00E91254">
        <w:rPr>
          <w:rFonts w:cs="B Nazanin"/>
          <w:b/>
          <w:bCs/>
          <w:color w:val="C00000"/>
          <w:sz w:val="28"/>
          <w:szCs w:val="28"/>
          <w:rtl/>
        </w:rPr>
        <w:t xml:space="preserve"> با مصرف </w:t>
      </w:r>
      <w:r w:rsidRPr="00E91254">
        <w:rPr>
          <w:rFonts w:cs="B Nazanin" w:hint="cs"/>
          <w:b/>
          <w:bCs/>
          <w:color w:val="C00000"/>
          <w:sz w:val="28"/>
          <w:szCs w:val="28"/>
          <w:rtl/>
        </w:rPr>
        <w:t>سيگار</w:t>
      </w:r>
      <w:r w:rsidRPr="00E91254">
        <w:rPr>
          <w:rFonts w:cs="B Nazanin"/>
          <w:b/>
          <w:bCs/>
          <w:color w:val="C00000"/>
          <w:sz w:val="28"/>
          <w:szCs w:val="28"/>
          <w:rtl/>
        </w:rPr>
        <w:t xml:space="preserve"> در محل كار، اين </w:t>
      </w:r>
      <w:r w:rsidRPr="00E91254">
        <w:rPr>
          <w:rFonts w:cs="B Nazanin" w:hint="cs"/>
          <w:b/>
          <w:bCs/>
          <w:color w:val="C00000"/>
          <w:sz w:val="28"/>
          <w:szCs w:val="28"/>
          <w:rtl/>
        </w:rPr>
        <w:t>راهكارها كاربردي تر هستند:</w:t>
      </w:r>
    </w:p>
    <w:p w:rsidR="00E91254" w:rsidRPr="0060600B" w:rsidRDefault="00186D75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1. </w:t>
      </w:r>
      <w:r w:rsidR="00E91254" w:rsidRPr="0060600B">
        <w:rPr>
          <w:rFonts w:cs="B Nazanin" w:hint="cs"/>
          <w:color w:val="000000" w:themeColor="text1"/>
          <w:sz w:val="28"/>
          <w:szCs w:val="28"/>
          <w:rtl/>
        </w:rPr>
        <w:t>انجام مشاوره</w:t>
      </w:r>
      <w:r w:rsidR="00E91254" w:rsidRPr="0060600B">
        <w:rPr>
          <w:rFonts w:cs="B Nazanin"/>
          <w:color w:val="000000" w:themeColor="text1"/>
          <w:sz w:val="28"/>
          <w:szCs w:val="28"/>
          <w:rtl/>
        </w:rPr>
        <w:t xml:space="preserve"> و ارايه </w:t>
      </w:r>
      <w:r w:rsidR="00E91254" w:rsidRPr="0060600B">
        <w:rPr>
          <w:rFonts w:cs="B Nazanin" w:hint="cs"/>
          <w:color w:val="000000" w:themeColor="text1"/>
          <w:sz w:val="28"/>
          <w:szCs w:val="28"/>
          <w:rtl/>
        </w:rPr>
        <w:t>آموزش هاي مؤثر براي آگاه كردن و تشويق كاركنان براي ترك سيگار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 xml:space="preserve">2.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تخصيص امكانات مالي و رفاهي براي ترك دخانيات به عنوان راهكاري براي ترغيب و تشويق افراد سيگاري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 xml:space="preserve">3.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اجراي دقيق و نظارت بر قوانين محدوديت و ممنوعيت مصرف دخانيات در محل كار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 xml:space="preserve">4.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اعمال جرايم نقدي افراد سيگاري به ازاي هر بار مصرف دخانيات در محل كار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 xml:space="preserve">5.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وضع قوانين متناسب و راهبردي توسط دولت ها براي ممنوعيت مصرف دخانيات در ادارات و كارخانه ها و محلهاي كار خصوصي و دولتي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 xml:space="preserve">6. استفاده از </w:t>
      </w:r>
      <w:r w:rsidRPr="0060600B">
        <w:rPr>
          <w:rFonts w:cs="B Nazanin" w:hint="cs"/>
          <w:color w:val="000000" w:themeColor="text1"/>
          <w:sz w:val="28"/>
          <w:szCs w:val="28"/>
          <w:rtl/>
        </w:rPr>
        <w:t>حس گرهاي دود براي ارزيابي و كنترل مداوم محل كار</w:t>
      </w:r>
    </w:p>
    <w:p w:rsidR="00E91254" w:rsidRP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b/>
          <w:bCs/>
          <w:color w:val="C00000"/>
          <w:sz w:val="28"/>
          <w:szCs w:val="28"/>
          <w:rtl/>
        </w:rPr>
      </w:pPr>
      <w:r w:rsidRPr="00E91254">
        <w:rPr>
          <w:rFonts w:cs="B Nazanin"/>
          <w:b/>
          <w:bCs/>
          <w:color w:val="C00000"/>
          <w:sz w:val="28"/>
          <w:szCs w:val="28"/>
          <w:rtl/>
        </w:rPr>
        <w:t>تأثیردود سیگار دست دوم بر مردان</w:t>
      </w:r>
      <w:r w:rsidR="00906783">
        <w:rPr>
          <w:rFonts w:cs="B Nazanin" w:hint="cs"/>
          <w:b/>
          <w:bCs/>
          <w:color w:val="C00000"/>
          <w:sz w:val="28"/>
          <w:szCs w:val="28"/>
          <w:rtl/>
        </w:rPr>
        <w:t xml:space="preserve"> </w:t>
      </w:r>
      <w:r w:rsidRPr="00E91254">
        <w:rPr>
          <w:rFonts w:cs="B Nazanin"/>
          <w:b/>
          <w:bCs/>
          <w:color w:val="C00000"/>
          <w:sz w:val="28"/>
          <w:szCs w:val="28"/>
          <w:rtl/>
        </w:rPr>
        <w:t>: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1- تومور مغزی، لنفوم، لوسمی و سرطان ریه، سرطان سینوس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2- التهاب گوش میانی، بینی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3- نقص عملکردی ریه ، بیماری های بخش فوقانی و تحتانی تنفسی، آسم</w:t>
      </w: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4- بیماری عروق کرونر قلب، سکته مغزی</w:t>
      </w:r>
    </w:p>
    <w:p w:rsid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0600B">
        <w:rPr>
          <w:rFonts w:cs="B Nazanin"/>
          <w:color w:val="000000" w:themeColor="text1"/>
          <w:sz w:val="28"/>
          <w:szCs w:val="28"/>
          <w:rtl/>
        </w:rPr>
        <w:t>5- اعتیاد به نیکوتین</w:t>
      </w:r>
    </w:p>
    <w:p w:rsid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60600B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91254" w:rsidRPr="00E91254" w:rsidRDefault="00E91254" w:rsidP="00E91254">
      <w:pPr>
        <w:tabs>
          <w:tab w:val="left" w:pos="-330"/>
        </w:tabs>
        <w:ind w:left="-188" w:right="-142"/>
        <w:jc w:val="both"/>
        <w:rPr>
          <w:rFonts w:cs="B Nazanin"/>
          <w:b/>
          <w:bCs/>
          <w:color w:val="C00000"/>
          <w:sz w:val="28"/>
          <w:szCs w:val="28"/>
          <w:rtl/>
        </w:rPr>
      </w:pPr>
      <w:r w:rsidRPr="00E91254">
        <w:rPr>
          <w:rFonts w:cs="B Nazanin" w:hint="cs"/>
          <w:b/>
          <w:bCs/>
          <w:color w:val="C00000"/>
          <w:sz w:val="28"/>
          <w:szCs w:val="28"/>
          <w:rtl/>
        </w:rPr>
        <w:lastRenderedPageBreak/>
        <w:t>تأثیردود سیگار دست دوم بر زنان :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سکته مغزی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التهاب بینی و افزایش احتمال سرطان های سینوس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r w:rsidRPr="00E91254">
        <w:rPr>
          <w:rFonts w:cs="B Nazanin"/>
          <w:color w:val="000000" w:themeColor="text1"/>
          <w:sz w:val="28"/>
          <w:szCs w:val="28"/>
          <w:rtl/>
        </w:rPr>
        <w:t xml:space="preserve">افزایش احتمال سرطان پستان </w:t>
      </w:r>
      <w:bookmarkEnd w:id="0"/>
      <w:r w:rsidRPr="00E91254">
        <w:rPr>
          <w:rFonts w:cs="B Nazanin"/>
          <w:color w:val="000000" w:themeColor="text1"/>
          <w:sz w:val="28"/>
          <w:szCs w:val="28"/>
          <w:rtl/>
        </w:rPr>
        <w:t>، تومور مغزی ، لنفوم و سرطان خون و  سرطان ریه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افزایش گرفتگی عروق کرونر قلب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افزایش آسم و اختلال  کارکرد ریه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آترواسکلروز (تصلب شرایین عروق)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التهاب گوش میانی</w:t>
      </w:r>
    </w:p>
    <w:p w:rsidR="00E91254" w:rsidRPr="00E91254" w:rsidRDefault="00E91254" w:rsidP="00E91254">
      <w:pPr>
        <w:pStyle w:val="ListParagraph"/>
        <w:numPr>
          <w:ilvl w:val="0"/>
          <w:numId w:val="4"/>
        </w:numPr>
        <w:tabs>
          <w:tab w:val="left" w:pos="-330"/>
        </w:tabs>
        <w:ind w:right="-142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1254">
        <w:rPr>
          <w:rFonts w:cs="B Nazanin"/>
          <w:color w:val="000000" w:themeColor="text1"/>
          <w:sz w:val="28"/>
          <w:szCs w:val="28"/>
          <w:rtl/>
        </w:rPr>
        <w:t xml:space="preserve"> اعتیاد به نیکوتین</w:t>
      </w:r>
    </w:p>
    <w:p w:rsidR="005218FC" w:rsidRDefault="005218FC"/>
    <w:sectPr w:rsidR="005218FC" w:rsidSect="00E91254">
      <w:pgSz w:w="11906" w:h="16838"/>
      <w:pgMar w:top="1440" w:right="1440" w:bottom="144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C1242"/>
    <w:multiLevelType w:val="hybridMultilevel"/>
    <w:tmpl w:val="397EE27E"/>
    <w:lvl w:ilvl="0" w:tplc="9F5AEE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E63D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921A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DC6D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369A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B0BF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23E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B4B0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489A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8937EA4"/>
    <w:multiLevelType w:val="hybridMultilevel"/>
    <w:tmpl w:val="72826658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">
    <w:nsid w:val="5257254A"/>
    <w:multiLevelType w:val="hybridMultilevel"/>
    <w:tmpl w:val="A36CD4EE"/>
    <w:lvl w:ilvl="0" w:tplc="3E607D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E026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80E2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B8CB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813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5C4E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FC03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AC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1A43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7CA023C"/>
    <w:multiLevelType w:val="hybridMultilevel"/>
    <w:tmpl w:val="D1A2B3A8"/>
    <w:lvl w:ilvl="0" w:tplc="C7523A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40E0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EC4A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0E97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43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844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B241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90DA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02DA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4"/>
    <w:rsid w:val="00186D75"/>
    <w:rsid w:val="005218FC"/>
    <w:rsid w:val="008649A8"/>
    <w:rsid w:val="00906783"/>
    <w:rsid w:val="00E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8BFB27-B71B-4931-8B00-34D2DA8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5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jalili2</dc:creator>
  <cp:keywords/>
  <dc:description/>
  <cp:lastModifiedBy>jalili2</cp:lastModifiedBy>
  <cp:revision>3</cp:revision>
  <dcterms:created xsi:type="dcterms:W3CDTF">2018-11-10T09:49:00Z</dcterms:created>
  <dcterms:modified xsi:type="dcterms:W3CDTF">2018-12-25T07:53:00Z</dcterms:modified>
</cp:coreProperties>
</file>